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"/>
        <w:gridCol w:w="1203"/>
        <w:gridCol w:w="1682"/>
        <w:gridCol w:w="6500"/>
        <w:gridCol w:w="4415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807385" w:rsidRPr="0081419B" w:rsidRDefault="00807385" w:rsidP="00651688">
            <w:pPr>
              <w:spacing w:before="120" w:after="120"/>
              <w:ind w:left="2948" w:hanging="2948"/>
              <w:rPr>
                <w:b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81419B">
              <w:rPr>
                <w:b/>
              </w:rPr>
              <w:t xml:space="preserve">Rozporządzenie Ministra Cyfryzacji w sprawie inwentaryzacji infrastruktury i usług telekomunikacyjnych </w:t>
            </w:r>
          </w:p>
        </w:tc>
      </w:tr>
      <w:tr w:rsidR="00807385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500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415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807385" w:rsidRDefault="00C6524B" w:rsidP="002E0D6A">
            <w:pPr>
              <w:jc w:val="center"/>
            </w:pPr>
            <w:r>
              <w:t>§ 2 projektu</w:t>
            </w:r>
            <w:r w:rsidR="007663B6">
              <w:t xml:space="preserve"> rozporządzenia</w:t>
            </w:r>
          </w:p>
        </w:tc>
        <w:tc>
          <w:tcPr>
            <w:tcW w:w="6500" w:type="dxa"/>
            <w:shd w:val="clear" w:color="auto" w:fill="auto"/>
          </w:tcPr>
          <w:p w:rsidR="00807385" w:rsidRDefault="00C6524B" w:rsidP="00651688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Podtrzymuje uwagę Rządowego Centrum Legislacji z pisma z dnia 30 września 2022 r. </w:t>
            </w:r>
            <w:r w:rsidR="009B6B99">
              <w:rPr>
                <w:rFonts w:ascii="Times New Roman" w:hAnsi="Times New Roman"/>
                <w:sz w:val="24"/>
                <w:szCs w:val="24"/>
              </w:rPr>
              <w:t>Odnosząc się do wyjaśnień wnioskodawcy</w:t>
            </w:r>
            <w:r w:rsidR="00736377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B61A20">
              <w:rPr>
                <w:rFonts w:ascii="Times New Roman" w:hAnsi="Times New Roman"/>
                <w:sz w:val="24"/>
                <w:szCs w:val="24"/>
              </w:rPr>
              <w:t xml:space="preserve"> tabeli uwag</w:t>
            </w:r>
            <w:r w:rsidR="009B6B99">
              <w:rPr>
                <w:rFonts w:ascii="Times New Roman" w:hAnsi="Times New Roman"/>
                <w:sz w:val="24"/>
                <w:szCs w:val="24"/>
              </w:rPr>
              <w:t xml:space="preserve"> należy wskazać</w:t>
            </w:r>
            <w:r w:rsidR="002516F3">
              <w:rPr>
                <w:rFonts w:ascii="Times New Roman" w:hAnsi="Times New Roman"/>
                <w:sz w:val="24"/>
                <w:szCs w:val="24"/>
              </w:rPr>
              <w:t xml:space="preserve">, że zmiana siatki pojęciowej rozporządzenia, </w:t>
            </w:r>
            <w:r w:rsidR="009B6B99">
              <w:rPr>
                <w:rFonts w:ascii="Times New Roman" w:hAnsi="Times New Roman"/>
                <w:sz w:val="24"/>
                <w:szCs w:val="24"/>
              </w:rPr>
              <w:t xml:space="preserve">nie </w:t>
            </w:r>
            <w:r w:rsidR="002516F3">
              <w:rPr>
                <w:rFonts w:ascii="Times New Roman" w:hAnsi="Times New Roman"/>
                <w:sz w:val="24"/>
                <w:szCs w:val="24"/>
              </w:rPr>
              <w:t>będzie mogła być dokonana na etapie komisji prawniczej, gdyż etap komisji prawniczej nie służy do ustalenia merytorycznego brzmienia projektu</w:t>
            </w:r>
            <w:r w:rsidR="00460771">
              <w:rPr>
                <w:rFonts w:ascii="Times New Roman" w:hAnsi="Times New Roman"/>
                <w:sz w:val="24"/>
                <w:szCs w:val="24"/>
              </w:rPr>
              <w:t>, ale opracowaniu przyjętego tekstu pod względem</w:t>
            </w:r>
            <w:r w:rsidR="00F33A5A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33A5A" w:rsidRPr="00F33A5A">
              <w:rPr>
                <w:rFonts w:ascii="Times New Roman" w:hAnsi="Times New Roman"/>
                <w:i/>
                <w:sz w:val="24"/>
                <w:szCs w:val="24"/>
              </w:rPr>
              <w:t>prawnym, legislacyjnym i redakcyjnym, w szczególności zgodność przepisów projektu z obowiązującym systemem prawa i zasadami techniki prawodawczej, jak również uwzględnienie opinii Rady Legislacyjnej oraz poprawność językową</w:t>
            </w:r>
            <w:r w:rsidR="00F33A5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F33A5A" w:rsidRDefault="00F33A5A" w:rsidP="00651688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63B6" w:rsidRDefault="007663B6" w:rsidP="00651688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Treść uwagi:</w:t>
            </w:r>
          </w:p>
          <w:p w:rsidR="000D310F" w:rsidRPr="000D310F" w:rsidRDefault="000D310F" w:rsidP="000D310F">
            <w:pPr>
              <w:pStyle w:val="Akapitzli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10F">
              <w:rPr>
                <w:rFonts w:ascii="Times New Roman" w:hAnsi="Times New Roman"/>
                <w:sz w:val="24"/>
                <w:szCs w:val="24"/>
              </w:rPr>
              <w:t>a)</w:t>
            </w:r>
            <w:r w:rsidRPr="000D310F">
              <w:rPr>
                <w:rFonts w:ascii="Times New Roman" w:hAnsi="Times New Roman"/>
                <w:sz w:val="24"/>
                <w:szCs w:val="24"/>
              </w:rPr>
              <w:tab/>
              <w:t xml:space="preserve">pojęcie „linii kablowej”, o którym mowa w § 2 pkt 2 projektu zostało użyte w art. 29 ust. 1 pkt 3 ustawy z dnia 7 maja 2010 r. o wspieraniu rozwoju usług i sieci telekomunikacyjnych (Dz. U. z 2022 r. poz. 884). Zgodnie z § 149 załącznika do rozporządzenia Prezesa Rady Ministrów z dnia 20 czerwca 2022 r. w sprawie „Zasad techniki prawodawczej” (Dz. U. z 2016 r. poz. 283), zwanego dalej „ZTP”, „W akcie normatywnym niższym rangą niż ustawa bez upoważnienia ustawowego </w:t>
            </w:r>
            <w:r w:rsidRPr="000D310F">
              <w:rPr>
                <w:rFonts w:ascii="Times New Roman" w:hAnsi="Times New Roman"/>
                <w:sz w:val="24"/>
                <w:szCs w:val="24"/>
              </w:rPr>
              <w:lastRenderedPageBreak/>
              <w:t>nie formułuje się definicji ustalających znaczenia określeń ustawowych; w szczególności w akcie wykonawczym nie formułuje się definicji, które ustalałyby znaczenia określeń zawartych w ustawie upoważniającej.”. Przyjęcie tej definicji budzi wątpliwości, gdyż zgodnie z art. 29 ust. 1 pkt 3 ustawy z dnia 7 maja 2010 r, o wspieraniu rozwoju usług i sieci telekomunikacyjnych pojęcie to występuje w kontekście dookreślenia „światłowodowych i innych niż światłowodowe linii kablowych zapewniających lub umożliwiających zapewnienie szerokopasmowego dostępu do Internetu.”. Nie występuje w nim doprecyzowanie, że chodzi o „ciągi połączonych kabli telekomunikacyjnych”, które zastosowano na gruncie rozporządzenia. Dlatego proponuje się usunięcie tego przepisu;</w:t>
            </w:r>
          </w:p>
          <w:p w:rsidR="000D310F" w:rsidRPr="000D310F" w:rsidRDefault="000D310F" w:rsidP="000D310F">
            <w:pPr>
              <w:pStyle w:val="Akapitzli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10F">
              <w:rPr>
                <w:rFonts w:ascii="Times New Roman" w:hAnsi="Times New Roman"/>
                <w:sz w:val="24"/>
                <w:szCs w:val="24"/>
              </w:rPr>
              <w:t>b)</w:t>
            </w:r>
            <w:r w:rsidRPr="000D310F">
              <w:rPr>
                <w:rFonts w:ascii="Times New Roman" w:hAnsi="Times New Roman"/>
                <w:sz w:val="24"/>
                <w:szCs w:val="24"/>
              </w:rPr>
              <w:tab/>
              <w:t xml:space="preserve">w zakresie pojęcia „węzła publicznej sieci telekomunikacyjnej”, o którym mowa w § 2 pkt 5 projektu, zostało ono użyte w art. 2 pkt 27b lit. b ustawy z dnia 16 lipca 2004 r. – Prawo telekomunikacyjne (Dz. U. z 2022 r. poz. 1648, z </w:t>
            </w:r>
            <w:proofErr w:type="spellStart"/>
            <w:r w:rsidRPr="000D310F">
              <w:rPr>
                <w:rFonts w:ascii="Times New Roman" w:hAnsi="Times New Roman"/>
                <w:sz w:val="24"/>
                <w:szCs w:val="24"/>
              </w:rPr>
              <w:t>późn</w:t>
            </w:r>
            <w:proofErr w:type="spellEnd"/>
            <w:r w:rsidRPr="000D310F">
              <w:rPr>
                <w:rFonts w:ascii="Times New Roman" w:hAnsi="Times New Roman"/>
                <w:sz w:val="24"/>
                <w:szCs w:val="24"/>
              </w:rPr>
              <w:t xml:space="preserve">. zm.) w definicji przyłącza telekomunikacyjnego. Dlatego należy podnieść analogiczne wątpliwości jak w poprzedzającej uwadze, dotyczące niedopuszczalności definiowania pojęć ustawowych na poziomie aktu wykonawczego. Zgodnie z art. 2 ust. 2 ustawy z dnia 7 lipca 2010 r. o wspieraniu rozwoju usług i sieci telekomunikacyjnych „Ilekroć w ustawie są używane określenia zdefiniowane w ustawie z </w:t>
            </w:r>
            <w:r w:rsidRPr="000D31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dnia 16 lipca 2004 r. - Prawo telekomunikacyjne (…) określenia te należy rozumieć w znaczeniu tam przyjętym.”, zaś zgodnie z § 9 ZTP, tak w ustawie, jak i w akcie niższej rangi „należy posługiwać się określeniami, które zostały użyte w ustawie podstawowej dla danej dziedziny spraw, w szczególności w ustawie określanej jako „kodeks” lub „prawo”. Z tego powodu sugeruje się usuniecie tego przepisu; </w:t>
            </w:r>
          </w:p>
          <w:p w:rsidR="007663B6" w:rsidRPr="00371A2B" w:rsidRDefault="000D310F" w:rsidP="000D310F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310F">
              <w:rPr>
                <w:rFonts w:ascii="Times New Roman" w:hAnsi="Times New Roman"/>
                <w:sz w:val="24"/>
                <w:szCs w:val="24"/>
              </w:rPr>
              <w:t>c)</w:t>
            </w:r>
            <w:r w:rsidRPr="000D310F">
              <w:rPr>
                <w:rFonts w:ascii="Times New Roman" w:hAnsi="Times New Roman"/>
                <w:sz w:val="24"/>
                <w:szCs w:val="24"/>
              </w:rPr>
              <w:tab/>
              <w:t>wymaga szerszego wyjaśnienia relacja pojęć definiowanych w § 2 projektu do pojęć zdefiniowanych w ustawie z dnia 7 lipca 2010 r. o wspieraniu rozwoju usług i sieci telekomunikacyjnych oraz w ustawie z dnia 16 lipca 2004 r. - Prawo telekomunikacyjne. Upoważnienie ustawowe w zakresie przedmiotowym odwołuje się do „rodzaju infrastruktury oraz informacji o świadczonych usługach (…) podlegających inwentaryzacji”. Dlatego do zbadania czy definiowane w § 2 projektu pojęcia mieszą się w zakresie przedmiotowym przekazanym do uregulowania konieczne jest wyraźne przesądzenie, które z definiowanych pojęć dotyczą „rodzaju infrastruktury” i czy mieszczą się w zakresie pojęcia „infrastruktury telekomunikacyjnej” (która zgodnie z art. 29 ust. 1 ma podlegać inwentaryzacji), a także wskazanie, które definiowane pojęcia dotyczą „informacji o usługach (…) podlegających inwentaryzacji”;</w:t>
            </w:r>
          </w:p>
        </w:tc>
        <w:tc>
          <w:tcPr>
            <w:tcW w:w="4415" w:type="dxa"/>
            <w:shd w:val="clear" w:color="auto" w:fill="auto"/>
          </w:tcPr>
          <w:p w:rsidR="00807385" w:rsidRDefault="00024FE2" w:rsidP="00651688">
            <w:pPr>
              <w:spacing w:line="276" w:lineRule="auto"/>
              <w:jc w:val="both"/>
            </w:pPr>
            <w:r>
              <w:lastRenderedPageBreak/>
              <w:t>Wykreślenie poję</w:t>
            </w:r>
            <w:r w:rsidR="007663B6">
              <w:t xml:space="preserve">ć definiujących pojęcia ustawowe. </w:t>
            </w:r>
          </w:p>
        </w:tc>
      </w:tr>
      <w:tr w:rsidR="00F20A3E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F20A3E" w:rsidRPr="004D086F" w:rsidRDefault="00F20A3E" w:rsidP="00F20A3E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20A3E" w:rsidRDefault="00F20A3E" w:rsidP="00F20A3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20A3E" w:rsidRDefault="00F20A3E" w:rsidP="00F20A3E">
            <w:pPr>
              <w:jc w:val="center"/>
            </w:pPr>
            <w:r>
              <w:t>§ 4 projektu rozporządzenia</w:t>
            </w:r>
          </w:p>
        </w:tc>
        <w:tc>
          <w:tcPr>
            <w:tcW w:w="6500" w:type="dxa"/>
            <w:shd w:val="clear" w:color="auto" w:fill="auto"/>
          </w:tcPr>
          <w:p w:rsidR="00F20A3E" w:rsidRP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A3E">
              <w:rPr>
                <w:rFonts w:ascii="Times New Roman" w:hAnsi="Times New Roman"/>
                <w:sz w:val="24"/>
                <w:szCs w:val="24"/>
              </w:rPr>
              <w:t>- uwaga uwzględniona, wątpliwości co do sposobu uwzględnienia uwagi</w:t>
            </w:r>
          </w:p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0A3E">
              <w:rPr>
                <w:rFonts w:ascii="Times New Roman" w:hAnsi="Times New Roman"/>
                <w:sz w:val="24"/>
                <w:szCs w:val="24"/>
              </w:rPr>
              <w:t xml:space="preserve">Dziękując za uwzględnienie uwagi, postuluję przywrócenie pojęcia „technologii i parametrów”, w tym przepisie, a jedynie </w:t>
            </w:r>
            <w:r w:rsidRPr="00F20A3E">
              <w:rPr>
                <w:rFonts w:ascii="Times New Roman" w:hAnsi="Times New Roman"/>
                <w:sz w:val="24"/>
                <w:szCs w:val="24"/>
              </w:rPr>
              <w:lastRenderedPageBreak/>
              <w:t>uzupełnienie tego przepisu o informacje dotyczące danych identyfikujących czy charakterystyki, zgodnie z zaproponowaną przez wnioskodawcę korektą w brzmieniu przekazanym na KRMC.</w:t>
            </w:r>
          </w:p>
        </w:tc>
        <w:tc>
          <w:tcPr>
            <w:tcW w:w="4415" w:type="dxa"/>
            <w:shd w:val="clear" w:color="auto" w:fill="auto"/>
          </w:tcPr>
          <w:p w:rsidR="00F20A3E" w:rsidRDefault="00F20A3E" w:rsidP="00F20A3E">
            <w:pPr>
              <w:spacing w:line="276" w:lineRule="auto"/>
              <w:jc w:val="both"/>
            </w:pPr>
            <w:r>
              <w:lastRenderedPageBreak/>
              <w:t>Przywrócenie określeń „technologia” i „parametry” w § 4, i w konsekwencji w § 5.</w:t>
            </w:r>
          </w:p>
        </w:tc>
      </w:tr>
      <w:tr w:rsidR="00F20A3E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F20A3E" w:rsidRPr="004D086F" w:rsidRDefault="00F20A3E" w:rsidP="00F20A3E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20A3E" w:rsidRDefault="00F20A3E" w:rsidP="00F20A3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20A3E" w:rsidRDefault="00F20A3E" w:rsidP="00F20A3E">
            <w:pPr>
              <w:jc w:val="center"/>
            </w:pPr>
            <w:r>
              <w:t xml:space="preserve">§ 5 projektu rozporządzenia </w:t>
            </w:r>
          </w:p>
        </w:tc>
        <w:tc>
          <w:tcPr>
            <w:tcW w:w="6500" w:type="dxa"/>
            <w:shd w:val="clear" w:color="auto" w:fill="auto"/>
          </w:tcPr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Podtrzymuje uwagę Rządowego Centrum Legislacji z pisma z dnia 30 września 2022 r. Odnosząc się do wyjaśnień wnioskodawcy z tabeli uwag należy wskazać, że zgodnie z art. 29a ust. 2 ustawy z dnia 7 lipca 2010 r. o wspieraniu i rozwoju usług i sieci telekomunikacyjnych „</w:t>
            </w:r>
            <w:r w:rsidRPr="00496686">
              <w:rPr>
                <w:rFonts w:ascii="Times New Roman" w:hAnsi="Times New Roman"/>
                <w:i/>
                <w:sz w:val="24"/>
                <w:szCs w:val="24"/>
              </w:rPr>
              <w:t>Punkt informacyjny do spraw telekomunikacji jest prowadzony za pośrednictwem strony internetowej tego punktu informacyjnego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stąd wyodrębnienie punktu i strony internetowej tego punktu nie jest możliwe na poziomie normatywnym, zwłaszcza że funkcjonowanie punktu informacyjnego do spraw telekomunikacji, </w:t>
            </w:r>
            <w:r w:rsidRPr="00F20A3E">
              <w:rPr>
                <w:rFonts w:ascii="Times New Roman" w:hAnsi="Times New Roman"/>
                <w:sz w:val="24"/>
                <w:szCs w:val="24"/>
                <w:u w:val="single"/>
              </w:rPr>
              <w:t>przeznaczonego dla operatorów</w:t>
            </w:r>
            <w:r>
              <w:rPr>
                <w:rFonts w:ascii="Times New Roman" w:hAnsi="Times New Roman"/>
                <w:sz w:val="24"/>
                <w:szCs w:val="24"/>
              </w:rPr>
              <w:t>, ujęto w osobnym, w stosunku do inwentaryzacji, rozdziale ustawy o wspieraniu rozwoju usług i sieci telekomunikacyjnych. Dlatego wskazana strona internetowa może służyć jedynie do prowadzenia punktu i nie może być wykorzystywana do innych celów, gdyż ustawodawca nie przewidział takiego zakresu wykorzystania strony internetowej.</w:t>
            </w:r>
          </w:p>
          <w:p w:rsidR="00F20A3E" w:rsidRPr="00B64D3C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i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Ponadto należy zwrócić uwagę na regulację art. 29b ust. 4 ustawy o wspieraniu rozwoju usług i sieci, który stanowi, że</w:t>
            </w:r>
            <w:r w:rsidRPr="008A6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6777">
              <w:rPr>
                <w:rFonts w:ascii="Times New Roman" w:hAnsi="Times New Roman"/>
                <w:i/>
                <w:sz w:val="24"/>
                <w:szCs w:val="24"/>
              </w:rPr>
              <w:t xml:space="preserve">„Informacje udostępnione przez punkt informacyjny do spraw telekomunikacji mogą być wykorzystane wyłącznie zgodnie z ich przeznaczeniem i </w:t>
            </w:r>
            <w:r w:rsidRPr="00F0536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podlegają obowiązkowi zachowania poufności</w:t>
            </w:r>
            <w:r w:rsidRPr="008A6777">
              <w:rPr>
                <w:rFonts w:ascii="Times New Roman" w:hAnsi="Times New Roman"/>
                <w:i/>
                <w:sz w:val="24"/>
                <w:szCs w:val="24"/>
              </w:rPr>
              <w:t xml:space="preserve"> przez operatorów sieci, którym zostały udostępnione”.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Podczas, gdy zgodnie z art. 29 ust. 6 ww. ustawy, „</w:t>
            </w:r>
            <w:r w:rsidRPr="00A8381E">
              <w:rPr>
                <w:rFonts w:ascii="Times New Roman" w:hAnsi="Times New Roman"/>
                <w:i/>
                <w:sz w:val="24"/>
              </w:rPr>
              <w:t xml:space="preserve">Inwentaryzacja, o której mowa w ust. 1, jest </w:t>
            </w:r>
            <w:r w:rsidRPr="00F0536E">
              <w:rPr>
                <w:rFonts w:ascii="Times New Roman" w:hAnsi="Times New Roman"/>
                <w:i/>
                <w:sz w:val="24"/>
                <w:u w:val="single"/>
              </w:rPr>
              <w:t>jawna</w:t>
            </w:r>
            <w:r w:rsidRPr="00A8381E">
              <w:rPr>
                <w:rFonts w:ascii="Times New Roman" w:hAnsi="Times New Roman"/>
                <w:i/>
                <w:sz w:val="24"/>
              </w:rPr>
              <w:t xml:space="preserve"> i każdy ma prawo wglądu do tej </w:t>
            </w:r>
            <w:r w:rsidRPr="00A8381E">
              <w:rPr>
                <w:rFonts w:ascii="Times New Roman" w:hAnsi="Times New Roman"/>
                <w:i/>
                <w:sz w:val="24"/>
              </w:rPr>
              <w:lastRenderedPageBreak/>
              <w:t>inwentaryzacji oraz pobierania i otrzymywania danych z niej pochodzących</w:t>
            </w:r>
            <w:r>
              <w:rPr>
                <w:rFonts w:ascii="Times New Roman" w:hAnsi="Times New Roman"/>
                <w:i/>
                <w:sz w:val="28"/>
                <w:szCs w:val="24"/>
              </w:rPr>
              <w:t>”</w:t>
            </w:r>
            <w:r w:rsidRPr="0021743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415" w:type="dxa"/>
            <w:shd w:val="clear" w:color="auto" w:fill="auto"/>
          </w:tcPr>
          <w:p w:rsidR="00F20A3E" w:rsidRDefault="00F20A3E" w:rsidP="00F20A3E">
            <w:pPr>
              <w:spacing w:line="276" w:lineRule="auto"/>
              <w:jc w:val="both"/>
            </w:pPr>
            <w:r>
              <w:lastRenderedPageBreak/>
              <w:t>W ramach realizacji upoważnienia ustawowego do określenia szczegółowego zakresu i sposobu prezentowania informacji o inwentaryzacji wskazanie, że te informacje są prezentowane na stronie internetowej i usunięcie odesłania z przepisu. Ewentualnie zmiana ustawy, która umożliwiałaby takie wykorzystanie strony internetowej punktu</w:t>
            </w:r>
            <w:r w:rsidR="00AC5159">
              <w:t>,</w:t>
            </w:r>
            <w:r>
              <w:t xml:space="preserve"> aby za pośrednictwem strony internetowej punktu można było udostępniać informacji innym </w:t>
            </w:r>
            <w:r w:rsidRPr="00F20A3E">
              <w:t xml:space="preserve">podmiotom </w:t>
            </w:r>
            <w:r>
              <w:t xml:space="preserve">niż operatorzy. </w:t>
            </w:r>
          </w:p>
        </w:tc>
      </w:tr>
      <w:tr w:rsidR="00F20A3E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F20A3E" w:rsidRPr="004D086F" w:rsidRDefault="00F20A3E" w:rsidP="00F20A3E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20A3E" w:rsidRDefault="00F20A3E" w:rsidP="00F20A3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20A3E" w:rsidRDefault="00F20A3E" w:rsidP="00F20A3E">
            <w:pPr>
              <w:jc w:val="center"/>
            </w:pPr>
            <w:r>
              <w:t>§ 6 projektu rozporządzenia</w:t>
            </w:r>
          </w:p>
        </w:tc>
        <w:tc>
          <w:tcPr>
            <w:tcW w:w="6500" w:type="dxa"/>
            <w:shd w:val="clear" w:color="auto" w:fill="auto"/>
          </w:tcPr>
          <w:p w:rsidR="00F20A3E" w:rsidRP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Podtrzymuje uwagę z pisma z dnia 30 września 2022 r. Odnosząc się do wyjaśnień wnioskodawcy z tabeli uwag należy ponownie wskazać, że komisja prawnicza nie jest upoważniona do ustalenia merytorycznego brzmienia projektu. </w:t>
            </w:r>
            <w:r w:rsidR="00DA2635">
              <w:rPr>
                <w:rFonts w:ascii="Times New Roman" w:hAnsi="Times New Roman"/>
                <w:sz w:val="24"/>
                <w:szCs w:val="24"/>
              </w:rPr>
              <w:t>Ponadto</w:t>
            </w:r>
            <w:r w:rsidR="00AC5159">
              <w:rPr>
                <w:rFonts w:ascii="Times New Roman" w:hAnsi="Times New Roman"/>
                <w:sz w:val="24"/>
                <w:szCs w:val="24"/>
              </w:rPr>
              <w:t>, RCL nie kwestionuje konieczności przesyłania informacji w formie elektronicznej.</w:t>
            </w:r>
            <w:r w:rsidR="00DA2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159">
              <w:rPr>
                <w:rFonts w:ascii="Times New Roman" w:hAnsi="Times New Roman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rowadzenie inwentaryzacji w formie elektronicznej, na które powołuje się wnioskodawca</w:t>
            </w:r>
            <w:r w:rsidR="00AC515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nie </w:t>
            </w:r>
            <w:r w:rsidR="00DA2635">
              <w:rPr>
                <w:rFonts w:ascii="Times New Roman" w:hAnsi="Times New Roman"/>
                <w:sz w:val="24"/>
                <w:szCs w:val="24"/>
              </w:rPr>
              <w:t>uzasadnia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korzystania z konkretnego narzędzia</w:t>
            </w:r>
            <w:r w:rsidR="00AC515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jakim jest interfejs strony internetowej systemu teleinformatycznego, o którym mowa w art. 29b ust. 2 ustawy o wspieraniu rozwoju usług i sieci. </w:t>
            </w:r>
            <w:r w:rsidR="00DA2635">
              <w:rPr>
                <w:rFonts w:ascii="Times New Roman" w:hAnsi="Times New Roman"/>
                <w:sz w:val="24"/>
                <w:szCs w:val="24"/>
              </w:rPr>
              <w:t>Strona ta jest bowiem dedykowana przez powołan</w:t>
            </w:r>
            <w:r w:rsidR="00AC5159">
              <w:rPr>
                <w:rFonts w:ascii="Times New Roman" w:hAnsi="Times New Roman"/>
                <w:sz w:val="24"/>
                <w:szCs w:val="24"/>
              </w:rPr>
              <w:t>ą</w:t>
            </w:r>
            <w:r w:rsidR="00DA2635">
              <w:rPr>
                <w:rFonts w:ascii="Times New Roman" w:hAnsi="Times New Roman"/>
                <w:sz w:val="24"/>
                <w:szCs w:val="24"/>
              </w:rPr>
              <w:t xml:space="preserve"> ustawę </w:t>
            </w:r>
            <w:r w:rsidR="00AC5159">
              <w:rPr>
                <w:rFonts w:ascii="Times New Roman" w:hAnsi="Times New Roman"/>
                <w:sz w:val="24"/>
                <w:szCs w:val="24"/>
              </w:rPr>
              <w:t>przekazywaniu i udostępnianiu informacji pomiędzy PUKE a</w:t>
            </w:r>
            <w:r w:rsidR="00B9233A">
              <w:rPr>
                <w:rFonts w:ascii="Times New Roman" w:hAnsi="Times New Roman"/>
                <w:sz w:val="24"/>
                <w:szCs w:val="24"/>
              </w:rPr>
              <w:t xml:space="preserve"> odpowiednio</w:t>
            </w:r>
            <w:r w:rsidR="00AC51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2635">
              <w:rPr>
                <w:rFonts w:ascii="Times New Roman" w:hAnsi="Times New Roman"/>
                <w:sz w:val="24"/>
                <w:szCs w:val="24"/>
              </w:rPr>
              <w:t>operator</w:t>
            </w:r>
            <w:r w:rsidR="00AC5159">
              <w:rPr>
                <w:rFonts w:ascii="Times New Roman" w:hAnsi="Times New Roman"/>
                <w:sz w:val="24"/>
                <w:szCs w:val="24"/>
              </w:rPr>
              <w:t>e</w:t>
            </w:r>
            <w:r w:rsidR="00B9233A">
              <w:rPr>
                <w:rFonts w:ascii="Times New Roman" w:hAnsi="Times New Roman"/>
                <w:sz w:val="24"/>
                <w:szCs w:val="24"/>
              </w:rPr>
              <w:t xml:space="preserve">m, zarządcą drogi, wójtem, starostą i marszałkiem </w:t>
            </w:r>
            <w:r w:rsidR="00B9233A" w:rsidRPr="00B9233A">
              <w:rPr>
                <w:rFonts w:ascii="Times New Roman" w:hAnsi="Times New Roman"/>
                <w:sz w:val="24"/>
                <w:szCs w:val="24"/>
              </w:rPr>
              <w:t>województwa</w:t>
            </w:r>
            <w:r w:rsidR="00DA2635" w:rsidRPr="00B9233A">
              <w:rPr>
                <w:rFonts w:ascii="Times New Roman" w:hAnsi="Times New Roman"/>
                <w:sz w:val="24"/>
                <w:szCs w:val="24"/>
              </w:rPr>
              <w:t>. Dopuszczane byłoby zbieranie określonych w § 4 informacji za pośrednictwem tej strony o ile informacje te</w:t>
            </w:r>
            <w:r w:rsidR="00AC5159" w:rsidRPr="00B9233A">
              <w:rPr>
                <w:rFonts w:ascii="Times New Roman" w:hAnsi="Times New Roman"/>
                <w:sz w:val="24"/>
                <w:szCs w:val="24"/>
              </w:rPr>
              <w:t xml:space="preserve"> przekazywa</w:t>
            </w:r>
            <w:r w:rsidR="00B9233A" w:rsidRPr="00B9233A">
              <w:rPr>
                <w:rFonts w:ascii="Times New Roman" w:hAnsi="Times New Roman"/>
                <w:sz w:val="24"/>
                <w:szCs w:val="24"/>
              </w:rPr>
              <w:t>łyby podmioty określone w ustawie</w:t>
            </w:r>
            <w:r w:rsidR="00BB5A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9233A">
              <w:rPr>
                <w:rFonts w:ascii="Times New Roman" w:hAnsi="Times New Roman"/>
                <w:sz w:val="24"/>
                <w:szCs w:val="24"/>
              </w:rPr>
              <w:t xml:space="preserve">Ponieważ ustawodawca nie przewidział </w:t>
            </w:r>
            <w:r w:rsidR="00AC5159">
              <w:rPr>
                <w:rFonts w:ascii="Times New Roman" w:hAnsi="Times New Roman"/>
                <w:sz w:val="24"/>
                <w:szCs w:val="24"/>
              </w:rPr>
              <w:t>innego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celu wykorzystania punktu, strony i systemu – to modyfikacja zasad jej wykorzystania na poziomie rozporządzenia nie jest dopuszczalna. </w:t>
            </w:r>
          </w:p>
        </w:tc>
        <w:tc>
          <w:tcPr>
            <w:tcW w:w="4415" w:type="dxa"/>
            <w:shd w:val="clear" w:color="auto" w:fill="auto"/>
          </w:tcPr>
          <w:p w:rsidR="00F20A3E" w:rsidRDefault="00F20A3E" w:rsidP="00F20A3E">
            <w:pPr>
              <w:spacing w:line="276" w:lineRule="auto"/>
              <w:jc w:val="both"/>
            </w:pPr>
            <w:r>
              <w:t xml:space="preserve">Dostosowanie przepisów projektu do zakresu upoważnienia ustawowego, zgodnie z celem wykonania ustawy. Usunięcie przepisów zbędnych.  </w:t>
            </w:r>
            <w:r w:rsidRPr="00C71E20">
              <w:t>Konsekwencją przyjęcia poniższych uwag będzie potrzeba zweryfikowania części IV załącznika nr 1 do projektu;</w:t>
            </w:r>
          </w:p>
        </w:tc>
      </w:tr>
      <w:tr w:rsidR="00F20A3E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F20A3E" w:rsidRPr="004D086F" w:rsidRDefault="00F20A3E" w:rsidP="00F20A3E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20A3E" w:rsidRDefault="00F20A3E" w:rsidP="00F20A3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20A3E" w:rsidRDefault="00F20A3E" w:rsidP="00F20A3E">
            <w:pPr>
              <w:jc w:val="center"/>
            </w:pPr>
            <w:r>
              <w:t>Załącznik nr 1</w:t>
            </w:r>
          </w:p>
        </w:tc>
        <w:tc>
          <w:tcPr>
            <w:tcW w:w="6500" w:type="dxa"/>
            <w:shd w:val="clear" w:color="auto" w:fill="auto"/>
          </w:tcPr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Uwaga częściowo uwzględniona, wątpliwości co do sposobu uwzględnienia uwagi. </w:t>
            </w:r>
          </w:p>
          <w:p w:rsidR="00F20A3E" w:rsidRDefault="002B0B12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 pierwsze</w:t>
            </w:r>
            <w:r w:rsidR="00BB5A6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podtrzymuję uwagę co do umiejscowienia definicji pojęcia „infrastruktury o dużym znaczeniu”. Kwestia ta jako legislacyjna mogłaby być rozstrzygnięta na dalszym etapie prac. Natomiast wyjaśnienia Wnioskodawcy przedstawione do tej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uwagi powodują dodatkowe wątpliwości merytoryczne. Definicja </w:t>
            </w:r>
            <w:r w:rsidR="00F20A3E" w:rsidRPr="00D94137">
              <w:rPr>
                <w:rFonts w:ascii="Times New Roman" w:hAnsi="Times New Roman"/>
                <w:i/>
                <w:sz w:val="24"/>
                <w:szCs w:val="24"/>
              </w:rPr>
              <w:t>„infrastruktury o dużym znaczeniu”</w:t>
            </w:r>
            <w:r w:rsidR="00F20A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stanowi, że jest to </w:t>
            </w:r>
            <w:r w:rsidR="00F20A3E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r w:rsidR="00F20A3E" w:rsidRPr="00461302">
              <w:rPr>
                <w:rFonts w:ascii="Times New Roman" w:hAnsi="Times New Roman"/>
                <w:i/>
                <w:sz w:val="24"/>
                <w:szCs w:val="24"/>
              </w:rPr>
              <w:t xml:space="preserve">Węzeł publicznej sieci telekomunikacyjnej, którego suma maksymalnych przepustowości aktywnych interfejsów nienależących do sieci dostępowej lub niesłużących do podłączania abonentów, przekracza wartość 500 </w:t>
            </w:r>
            <w:proofErr w:type="spellStart"/>
            <w:r w:rsidR="00F20A3E" w:rsidRPr="00461302">
              <w:rPr>
                <w:rFonts w:ascii="Times New Roman" w:hAnsi="Times New Roman"/>
                <w:i/>
                <w:sz w:val="24"/>
                <w:szCs w:val="24"/>
              </w:rPr>
              <w:t>Gb</w:t>
            </w:r>
            <w:proofErr w:type="spellEnd"/>
            <w:r w:rsidR="00F20A3E" w:rsidRPr="00461302">
              <w:rPr>
                <w:rFonts w:ascii="Times New Roman" w:hAnsi="Times New Roman"/>
                <w:i/>
                <w:sz w:val="24"/>
                <w:szCs w:val="24"/>
              </w:rPr>
              <w:t xml:space="preserve">/s lub linia kablowa światłowodowa, zakończona przynajmniej z jednej strony w węźle publicznej sieci telekomunikacyjnej, w której suma przepustowości interfejsów podłączonych do pojedynczego włókna przekracza wartość 200 </w:t>
            </w:r>
            <w:proofErr w:type="spellStart"/>
            <w:r w:rsidR="00F20A3E" w:rsidRPr="00461302">
              <w:rPr>
                <w:rFonts w:ascii="Times New Roman" w:hAnsi="Times New Roman"/>
                <w:i/>
                <w:sz w:val="24"/>
                <w:szCs w:val="24"/>
              </w:rPr>
              <w:t>Gb</w:t>
            </w:r>
            <w:proofErr w:type="spellEnd"/>
            <w:r w:rsidR="00F20A3E" w:rsidRPr="00461302">
              <w:rPr>
                <w:rFonts w:ascii="Times New Roman" w:hAnsi="Times New Roman"/>
                <w:i/>
                <w:sz w:val="24"/>
                <w:szCs w:val="24"/>
              </w:rPr>
              <w:t>/s.”</w:t>
            </w:r>
          </w:p>
          <w:p w:rsidR="00F20A3E" w:rsidRPr="00D94137" w:rsidRDefault="00F20A3E" w:rsidP="000C59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Wobec przedstawionych wyjaśnień należy zauważyć, że wskazane kryteria nie odwołują się do względów obronności</w:t>
            </w:r>
            <w:r w:rsidR="000C593E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bezpieczeństwa państwa. Co więcej zgodnie z art. 29 ust. 6 </w:t>
            </w:r>
            <w:r w:rsidR="000C593E">
              <w:rPr>
                <w:rFonts w:ascii="Times New Roman" w:hAnsi="Times New Roman"/>
                <w:sz w:val="24"/>
                <w:szCs w:val="24"/>
              </w:rPr>
              <w:t xml:space="preserve">ustawy, regulacje te </w:t>
            </w:r>
            <w:r>
              <w:rPr>
                <w:rFonts w:ascii="Times New Roman" w:hAnsi="Times New Roman"/>
                <w:sz w:val="24"/>
                <w:szCs w:val="24"/>
              </w:rPr>
              <w:t>powinny uwzględniać również in</w:t>
            </w:r>
            <w:r w:rsidR="000C593E">
              <w:rPr>
                <w:rFonts w:ascii="Times New Roman" w:hAnsi="Times New Roman"/>
                <w:sz w:val="24"/>
                <w:szCs w:val="24"/>
              </w:rPr>
              <w:t>ne tajemnice prawnie chronione.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Ponieważ zgodnie z art. 29 ust. 3 ustawy o wspieraniu rozwoju usług i sieci telekomunikacyjnych „</w:t>
            </w:r>
            <w:r w:rsidRPr="00E848DE">
              <w:rPr>
                <w:rFonts w:ascii="Times New Roman" w:hAnsi="Times New Roman"/>
                <w:sz w:val="24"/>
                <w:szCs w:val="24"/>
              </w:rPr>
              <w:t>Do informacji, o których mowa w ust. 2, stosuje się odpowiednio przepis art. 9 ustawy z dnia 16 lipca 2004 r. - Prawo telekomunikacyjne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”, który to przepis umożliwia przedsiębiorcy telekomunikacyjnego zastrzeżenie niektórych informacji i dokumentów, wydaje się zasadnym zastosowanie w tym przypadku mechanizmu z tego przepisu. </w:t>
            </w:r>
          </w:p>
        </w:tc>
        <w:tc>
          <w:tcPr>
            <w:tcW w:w="4415" w:type="dxa"/>
            <w:shd w:val="clear" w:color="auto" w:fill="auto"/>
          </w:tcPr>
          <w:p w:rsidR="00F20A3E" w:rsidRDefault="00F20A3E" w:rsidP="00A03F04">
            <w:pPr>
              <w:spacing w:line="276" w:lineRule="auto"/>
              <w:jc w:val="both"/>
            </w:pPr>
            <w:r>
              <w:lastRenderedPageBreak/>
              <w:t>Odwołanie się do kryteriów t</w:t>
            </w:r>
            <w:r w:rsidR="000C593E">
              <w:t>ajemnic chronionych prawnie i względów</w:t>
            </w:r>
            <w:r>
              <w:t xml:space="preserve"> </w:t>
            </w:r>
            <w:r w:rsidR="000C593E">
              <w:t>obronności i bezpieczeństwa</w:t>
            </w:r>
            <w:r>
              <w:t xml:space="preserve"> państwa we wskazanym przepisie oraz uwzględnienie mechanizmu z art. 9 ustawy z dnia 16 lipca 2004 r. – Prawo telekomunikacyjne, biorąc </w:t>
            </w:r>
            <w:r>
              <w:lastRenderedPageBreak/>
              <w:t>jednak pod uwagę, że w katalogu podmiotów obowiązanych do przekazywania informacji w drod</w:t>
            </w:r>
            <w:r w:rsidR="00A03F04">
              <w:t xml:space="preserve">ze inwentaryzacji znajduje się także inne podmioty, </w:t>
            </w:r>
            <w:r>
              <w:t>tylko przedsiębiorcy telekomunikacyjni</w:t>
            </w:r>
            <w:r w:rsidR="00A03F04">
              <w:t xml:space="preserve"> do których zastosowanie znajdzie art. 9 PT</w:t>
            </w:r>
            <w:bookmarkStart w:id="0" w:name="_GoBack"/>
            <w:bookmarkEnd w:id="0"/>
            <w:r>
              <w:t xml:space="preserve">. </w:t>
            </w:r>
          </w:p>
        </w:tc>
      </w:tr>
      <w:tr w:rsidR="00F20A3E" w:rsidTr="00F20A3E">
        <w:trPr>
          <w:jc w:val="center"/>
        </w:trPr>
        <w:tc>
          <w:tcPr>
            <w:tcW w:w="745" w:type="dxa"/>
            <w:shd w:val="clear" w:color="auto" w:fill="auto"/>
            <w:vAlign w:val="center"/>
          </w:tcPr>
          <w:p w:rsidR="00F20A3E" w:rsidRPr="004D086F" w:rsidRDefault="00F20A3E" w:rsidP="00F20A3E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F20A3E" w:rsidRDefault="00F20A3E" w:rsidP="00F20A3E">
            <w:pPr>
              <w:spacing w:before="60" w:after="60"/>
              <w:jc w:val="center"/>
              <w:rPr>
                <w:b/>
              </w:rPr>
            </w:pPr>
            <w:r w:rsidRPr="00B673DB">
              <w:rPr>
                <w:b/>
              </w:rPr>
              <w:t>Rządowe Centrum Legislacji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F20A3E" w:rsidRDefault="00F20A3E" w:rsidP="00F20A3E">
            <w:pPr>
              <w:jc w:val="center"/>
            </w:pPr>
            <w:r>
              <w:t xml:space="preserve">Załącznik nr 1 </w:t>
            </w:r>
          </w:p>
        </w:tc>
        <w:tc>
          <w:tcPr>
            <w:tcW w:w="6500" w:type="dxa"/>
            <w:shd w:val="clear" w:color="auto" w:fill="auto"/>
          </w:tcPr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Wiersz 31 tabeli – zmieniony po etapie UZG - użycie pojęcia „szybka sieć telekomunikacyjna”</w:t>
            </w:r>
          </w:p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Ponieważ art. 2 ust. 1 pkt 7 ustawy z dnia 7 maja 2010 r. posługuje się pojęciem „szybka sieć telekomunikacyjna” i definiuje ją jako </w:t>
            </w:r>
            <w:r w:rsidRPr="00F6634A">
              <w:rPr>
                <w:rFonts w:ascii="Times New Roman" w:hAnsi="Times New Roman"/>
                <w:i/>
                <w:sz w:val="24"/>
                <w:szCs w:val="24"/>
              </w:rPr>
              <w:t xml:space="preserve">„sieć telekomunikacyjną zdolną do dostarczania usług szerokopasmowego dostępu do Internetu o </w:t>
            </w:r>
            <w:r w:rsidRPr="00F6634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przepustowości co najmniej 30 </w:t>
            </w:r>
            <w:proofErr w:type="spellStart"/>
            <w:r w:rsidRPr="00F6634A">
              <w:rPr>
                <w:rFonts w:ascii="Times New Roman" w:hAnsi="Times New Roman"/>
                <w:i/>
                <w:sz w:val="24"/>
                <w:szCs w:val="24"/>
              </w:rPr>
              <w:t>Mb</w:t>
            </w:r>
            <w:proofErr w:type="spellEnd"/>
            <w:r w:rsidRPr="00F6634A">
              <w:rPr>
                <w:rFonts w:ascii="Times New Roman" w:hAnsi="Times New Roman"/>
                <w:i/>
                <w:sz w:val="24"/>
                <w:szCs w:val="24"/>
              </w:rPr>
              <w:t>/s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nie jest dopuszczalne ustanowienie dla tej sieci w załączniku do niniejszego rozporządzenia innych kryteriów przez przyjęcie, że jako taką sieć rozumie się</w:t>
            </w:r>
            <w:r w:rsidR="002B0B1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20A3E" w:rsidRPr="00D15413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Ruchomą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 xml:space="preserve"> sieć telekomunikacyjna, która zapewnia zdolność do świadczenia usług dostępu do Internetu o przepustowości co najmniej 150 </w:t>
            </w:r>
            <w:proofErr w:type="spellStart"/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Mb</w:t>
            </w:r>
            <w:proofErr w:type="spellEnd"/>
            <w:r w:rsidRPr="00D15413">
              <w:rPr>
                <w:rFonts w:ascii="Times New Roman" w:hAnsi="Times New Roman"/>
                <w:i/>
                <w:sz w:val="24"/>
                <w:szCs w:val="24"/>
              </w:rPr>
              <w:t xml:space="preserve">/s pobierania danych oraz o prędkości co najmniej 50 </w:t>
            </w:r>
            <w:proofErr w:type="spellStart"/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Mb</w:t>
            </w:r>
            <w:proofErr w:type="spellEnd"/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/s w przypadku wysyłania danych; spełniająca wymagania dotyczące jakości sieci dla poniższych parametrów na poziomie:</w:t>
            </w:r>
          </w:p>
          <w:p w:rsidR="00F20A3E" w:rsidRPr="00D15413" w:rsidRDefault="00F20A3E" w:rsidP="00F20A3E">
            <w:pPr>
              <w:pStyle w:val="Akapitzli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ab/>
              <w:t>procent błędnych pakietów IP (obliczany zgodnie ze standardem ITU-T Y.1540) ≤ 0.01%</w:t>
            </w:r>
          </w:p>
          <w:p w:rsidR="00F20A3E" w:rsidRPr="00D15413" w:rsidRDefault="00F20A3E" w:rsidP="00F20A3E">
            <w:pPr>
              <w:pStyle w:val="Akapitzli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procent utraconych pakietów IP (obliczany zgodnie ze </w:t>
            </w:r>
            <w:proofErr w:type="spellStart"/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standar-dem</w:t>
            </w:r>
            <w:proofErr w:type="spellEnd"/>
            <w:r w:rsidRPr="00D15413">
              <w:rPr>
                <w:rFonts w:ascii="Times New Roman" w:hAnsi="Times New Roman"/>
                <w:i/>
                <w:sz w:val="24"/>
                <w:szCs w:val="24"/>
              </w:rPr>
              <w:t xml:space="preserve"> ITU-T Y.1540) ≤ 0.005%</w:t>
            </w:r>
          </w:p>
          <w:p w:rsidR="00F20A3E" w:rsidRPr="00D15413" w:rsidRDefault="00F20A3E" w:rsidP="00F20A3E">
            <w:pPr>
              <w:pStyle w:val="Akapitzli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ab/>
              <w:t>opóźnienie pakietów IP zsumowane dla obu kierunków (obliczany zgodnie ze standardem IEEE RFC 2681) ≤ 25 ms</w:t>
            </w:r>
          </w:p>
          <w:p w:rsidR="00F20A3E" w:rsidRPr="00D15413" w:rsidRDefault="00F20A3E" w:rsidP="00F20A3E">
            <w:pPr>
              <w:pStyle w:val="Akapitzli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ab/>
              <w:t>zmienność (wariancja) opóźnienia pakietów IP (obliczana zgodnie ze standardem IEEE RFC 3393) ≤ 6 ms</w:t>
            </w:r>
          </w:p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>•</w:t>
            </w:r>
            <w:r w:rsidRPr="00D15413">
              <w:rPr>
                <w:rFonts w:ascii="Times New Roman" w:hAnsi="Times New Roman"/>
                <w:i/>
                <w:sz w:val="24"/>
                <w:szCs w:val="24"/>
              </w:rPr>
              <w:tab/>
              <w:t>dostępność usługi (obliczana zgodnie ze standardem ITU-T Y.1540) ≥ 99.81% w skali roku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” </w:t>
            </w:r>
          </w:p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Gdyż nie jest dopuszczalne używanie pojęć, które definiuje ustawa w innym znaczeniu niż przyjęte na gruncie tej ustawy, ani ich doprecyzowanie na gruncie rozporządzenia, co wynika z § 147 ust. 1 i § 149 ZTP.  </w:t>
            </w:r>
          </w:p>
          <w:p w:rsidR="00F20A3E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0A3E" w:rsidRPr="00D15413" w:rsidRDefault="00F20A3E" w:rsidP="00F20A3E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Mimo wyjaśnień projektodawcy, który wskazuje, że zastosowanie parametru klasy szybkiej sieci telekomunikacyjnej jest wymagane przez instytucje europejskie ten zakres nie został</w:t>
            </w:r>
            <w:r w:rsidR="002B0B12">
              <w:rPr>
                <w:rFonts w:ascii="Times New Roman" w:hAnsi="Times New Roman"/>
                <w:sz w:val="24"/>
                <w:szCs w:val="24"/>
              </w:rPr>
              <w:t xml:space="preserve"> uwzględniony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niniejszym rozporządzeniu, co wymaga wyjaśnienia. </w:t>
            </w:r>
          </w:p>
        </w:tc>
        <w:tc>
          <w:tcPr>
            <w:tcW w:w="4415" w:type="dxa"/>
            <w:shd w:val="clear" w:color="auto" w:fill="auto"/>
          </w:tcPr>
          <w:p w:rsidR="00F20A3E" w:rsidRDefault="00F20A3E" w:rsidP="00F20A3E">
            <w:pPr>
              <w:spacing w:line="276" w:lineRule="auto"/>
              <w:jc w:val="both"/>
            </w:pPr>
            <w:r>
              <w:lastRenderedPageBreak/>
              <w:t xml:space="preserve">Zastąpienie pojęcia szybka sieć telekomunikacyjna. 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33A" w:rsidRDefault="002D433A" w:rsidP="006F2464">
      <w:r>
        <w:separator/>
      </w:r>
    </w:p>
  </w:endnote>
  <w:endnote w:type="continuationSeparator" w:id="0">
    <w:p w:rsidR="002D433A" w:rsidRDefault="002D433A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03F04">
      <w:rPr>
        <w:noProof/>
      </w:rPr>
      <w:t>6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33A" w:rsidRDefault="002D433A" w:rsidP="006F2464">
      <w:r>
        <w:separator/>
      </w:r>
    </w:p>
  </w:footnote>
  <w:footnote w:type="continuationSeparator" w:id="0">
    <w:p w:rsidR="002D433A" w:rsidRDefault="002D433A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24FE2"/>
    <w:rsid w:val="00034258"/>
    <w:rsid w:val="00085849"/>
    <w:rsid w:val="00086FAA"/>
    <w:rsid w:val="000C593E"/>
    <w:rsid w:val="000D310F"/>
    <w:rsid w:val="000D6A0C"/>
    <w:rsid w:val="000F70DC"/>
    <w:rsid w:val="00151A5D"/>
    <w:rsid w:val="001B17B6"/>
    <w:rsid w:val="001D4D30"/>
    <w:rsid w:val="00204D78"/>
    <w:rsid w:val="002144C2"/>
    <w:rsid w:val="00217431"/>
    <w:rsid w:val="00243F74"/>
    <w:rsid w:val="002516F3"/>
    <w:rsid w:val="002715B2"/>
    <w:rsid w:val="002830F3"/>
    <w:rsid w:val="002B0B12"/>
    <w:rsid w:val="002C3EF7"/>
    <w:rsid w:val="002D433A"/>
    <w:rsid w:val="002E0D6A"/>
    <w:rsid w:val="002F225A"/>
    <w:rsid w:val="00300607"/>
    <w:rsid w:val="003108D6"/>
    <w:rsid w:val="003124D1"/>
    <w:rsid w:val="00335EBD"/>
    <w:rsid w:val="00363A9C"/>
    <w:rsid w:val="00371A2B"/>
    <w:rsid w:val="003C5A07"/>
    <w:rsid w:val="003E4667"/>
    <w:rsid w:val="00460771"/>
    <w:rsid w:val="00461302"/>
    <w:rsid w:val="00462523"/>
    <w:rsid w:val="00462ED0"/>
    <w:rsid w:val="0047105F"/>
    <w:rsid w:val="0048004E"/>
    <w:rsid w:val="00494158"/>
    <w:rsid w:val="0049543B"/>
    <w:rsid w:val="00496686"/>
    <w:rsid w:val="004A1CE2"/>
    <w:rsid w:val="004B78DE"/>
    <w:rsid w:val="004D086F"/>
    <w:rsid w:val="005006BA"/>
    <w:rsid w:val="005310EA"/>
    <w:rsid w:val="005376C1"/>
    <w:rsid w:val="00540339"/>
    <w:rsid w:val="00564F2F"/>
    <w:rsid w:val="005728C0"/>
    <w:rsid w:val="005967FA"/>
    <w:rsid w:val="005F6527"/>
    <w:rsid w:val="00607865"/>
    <w:rsid w:val="0061038A"/>
    <w:rsid w:val="00630397"/>
    <w:rsid w:val="00651688"/>
    <w:rsid w:val="00652FFF"/>
    <w:rsid w:val="006705EC"/>
    <w:rsid w:val="006874E5"/>
    <w:rsid w:val="006A7837"/>
    <w:rsid w:val="006E16E9"/>
    <w:rsid w:val="006F2464"/>
    <w:rsid w:val="007343EB"/>
    <w:rsid w:val="00736377"/>
    <w:rsid w:val="007432C9"/>
    <w:rsid w:val="007463C0"/>
    <w:rsid w:val="00752888"/>
    <w:rsid w:val="00764098"/>
    <w:rsid w:val="007663B6"/>
    <w:rsid w:val="007E12D2"/>
    <w:rsid w:val="007E156A"/>
    <w:rsid w:val="007F3ECA"/>
    <w:rsid w:val="00807385"/>
    <w:rsid w:val="0081419B"/>
    <w:rsid w:val="00834518"/>
    <w:rsid w:val="00857913"/>
    <w:rsid w:val="00885551"/>
    <w:rsid w:val="008A6777"/>
    <w:rsid w:val="008C1A18"/>
    <w:rsid w:val="008C1BB1"/>
    <w:rsid w:val="008C6DE8"/>
    <w:rsid w:val="008D5CBD"/>
    <w:rsid w:val="008E735C"/>
    <w:rsid w:val="00926098"/>
    <w:rsid w:val="00944932"/>
    <w:rsid w:val="00961A22"/>
    <w:rsid w:val="009B6B99"/>
    <w:rsid w:val="009C6C55"/>
    <w:rsid w:val="00A032E3"/>
    <w:rsid w:val="00A03F04"/>
    <w:rsid w:val="00A56A80"/>
    <w:rsid w:val="00A65CDA"/>
    <w:rsid w:val="00A83372"/>
    <w:rsid w:val="00A8381E"/>
    <w:rsid w:val="00A9613E"/>
    <w:rsid w:val="00AA284F"/>
    <w:rsid w:val="00AC296E"/>
    <w:rsid w:val="00AC5159"/>
    <w:rsid w:val="00AC59E1"/>
    <w:rsid w:val="00AC6AD3"/>
    <w:rsid w:val="00AC7960"/>
    <w:rsid w:val="00B01F29"/>
    <w:rsid w:val="00B05EDF"/>
    <w:rsid w:val="00B61A20"/>
    <w:rsid w:val="00B64D3C"/>
    <w:rsid w:val="00B673DB"/>
    <w:rsid w:val="00B67B92"/>
    <w:rsid w:val="00B81857"/>
    <w:rsid w:val="00B9167D"/>
    <w:rsid w:val="00B9233A"/>
    <w:rsid w:val="00BA252B"/>
    <w:rsid w:val="00BB5A6C"/>
    <w:rsid w:val="00C025E5"/>
    <w:rsid w:val="00C64B1B"/>
    <w:rsid w:val="00C6524B"/>
    <w:rsid w:val="00C71E20"/>
    <w:rsid w:val="00C76074"/>
    <w:rsid w:val="00C82EA3"/>
    <w:rsid w:val="00C86AA6"/>
    <w:rsid w:val="00C86B63"/>
    <w:rsid w:val="00CD1B69"/>
    <w:rsid w:val="00CF662D"/>
    <w:rsid w:val="00D030D8"/>
    <w:rsid w:val="00D15413"/>
    <w:rsid w:val="00D334F1"/>
    <w:rsid w:val="00D94137"/>
    <w:rsid w:val="00D95E60"/>
    <w:rsid w:val="00DA0398"/>
    <w:rsid w:val="00DA2635"/>
    <w:rsid w:val="00DC7D4C"/>
    <w:rsid w:val="00DD780C"/>
    <w:rsid w:val="00DF3EC2"/>
    <w:rsid w:val="00E14C33"/>
    <w:rsid w:val="00E42259"/>
    <w:rsid w:val="00E449CB"/>
    <w:rsid w:val="00E848DE"/>
    <w:rsid w:val="00F0536E"/>
    <w:rsid w:val="00F20A3E"/>
    <w:rsid w:val="00F33A5A"/>
    <w:rsid w:val="00F45768"/>
    <w:rsid w:val="00F6634A"/>
    <w:rsid w:val="00FA3D97"/>
    <w:rsid w:val="00FB6D3A"/>
    <w:rsid w:val="00FC1D93"/>
    <w:rsid w:val="00FD1760"/>
    <w:rsid w:val="00FD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7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2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2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77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304</TotalTime>
  <Pages>8</Pages>
  <Words>1706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Autor</cp:lastModifiedBy>
  <cp:revision>21</cp:revision>
  <cp:lastPrinted>2012-08-20T11:53:00Z</cp:lastPrinted>
  <dcterms:created xsi:type="dcterms:W3CDTF">2015-01-27T10:05:00Z</dcterms:created>
  <dcterms:modified xsi:type="dcterms:W3CDTF">2022-11-23T12:37:00Z</dcterms:modified>
</cp:coreProperties>
</file>